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E810" w14:textId="77777777" w:rsidR="00801157" w:rsidRPr="00EB4F69" w:rsidRDefault="00801157" w:rsidP="0080115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EB4F69">
        <w:rPr>
          <w:b/>
          <w:bCs/>
          <w:color w:val="2F5496" w:themeColor="accent1" w:themeShade="BF"/>
          <w:sz w:val="28"/>
          <w:szCs w:val="28"/>
        </w:rPr>
        <w:t>MINISTERIO DE CIENCIA, TECNOLOGÍA E INNOVACIÓN</w:t>
      </w:r>
    </w:p>
    <w:p w14:paraId="792F7943" w14:textId="77777777" w:rsidR="00801157" w:rsidRPr="00EB4F69" w:rsidRDefault="00801157" w:rsidP="0080115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EB4F69">
        <w:rPr>
          <w:b/>
          <w:bCs/>
          <w:color w:val="2F5496" w:themeColor="accent1" w:themeShade="BF"/>
          <w:sz w:val="28"/>
          <w:szCs w:val="28"/>
        </w:rPr>
        <w:t>-MINCIENCIAS-</w:t>
      </w:r>
    </w:p>
    <w:p w14:paraId="2D4BFC2C" w14:textId="77777777" w:rsidR="00801157" w:rsidRPr="00661817" w:rsidRDefault="00801157" w:rsidP="00801157">
      <w:pPr>
        <w:jc w:val="center"/>
        <w:rPr>
          <w:color w:val="2F5496" w:themeColor="accent1" w:themeShade="BF"/>
          <w:sz w:val="24"/>
          <w:szCs w:val="24"/>
        </w:rPr>
      </w:pPr>
    </w:p>
    <w:p w14:paraId="5715EF23" w14:textId="77777777" w:rsidR="00801157" w:rsidRPr="0066181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661817">
        <w:rPr>
          <w:b/>
          <w:bCs/>
          <w:color w:val="2F5496" w:themeColor="accent1" w:themeShade="BF"/>
          <w:sz w:val="24"/>
          <w:szCs w:val="24"/>
        </w:rPr>
        <w:t>CONVOCATORIA PARA LA CREACIÓN Y FORTALECIMIENTO DE EMPRESAS TIPO SPIN-OFF</w:t>
      </w:r>
    </w:p>
    <w:p w14:paraId="5D3BBEAD" w14:textId="77777777" w:rsidR="00801157" w:rsidRDefault="00801157" w:rsidP="00801157">
      <w:pPr>
        <w:pStyle w:val="Textoindependiente"/>
        <w:spacing w:before="10"/>
        <w:rPr>
          <w:rFonts w:ascii="Times New Roman"/>
          <w:b w:val="0"/>
          <w:sz w:val="11"/>
        </w:rPr>
      </w:pPr>
    </w:p>
    <w:p w14:paraId="1706D1D3" w14:textId="77777777" w:rsidR="00801157" w:rsidRPr="0080115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7BAC4C50" w14:textId="23AF6366" w:rsidR="0080115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801157">
        <w:rPr>
          <w:b/>
          <w:bCs/>
          <w:color w:val="2F5496" w:themeColor="accent1" w:themeShade="BF"/>
          <w:sz w:val="24"/>
          <w:szCs w:val="24"/>
        </w:rPr>
        <w:t>ANEXO 4 CRITERIOS DE EVALUACIÓN</w:t>
      </w:r>
    </w:p>
    <w:p w14:paraId="1A8502D2" w14:textId="77777777" w:rsidR="00801157" w:rsidRPr="0080115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4412"/>
        <w:gridCol w:w="1634"/>
      </w:tblGrid>
      <w:tr w:rsidR="00801157" w:rsidRPr="00801157" w14:paraId="5D1B045D" w14:textId="77777777" w:rsidTr="008F4A63">
        <w:trPr>
          <w:trHeight w:val="296"/>
        </w:trPr>
        <w:tc>
          <w:tcPr>
            <w:tcW w:w="1614" w:type="pct"/>
            <w:shd w:val="clear" w:color="auto" w:fill="2F5496" w:themeFill="accent1" w:themeFillShade="BF"/>
            <w:vAlign w:val="center"/>
          </w:tcPr>
          <w:p w14:paraId="1BF88FE7" w14:textId="77777777" w:rsidR="00801157" w:rsidRPr="00801157" w:rsidRDefault="00801157" w:rsidP="00801157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 w:rsidRPr="00801157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Criterio</w:t>
            </w:r>
          </w:p>
        </w:tc>
        <w:tc>
          <w:tcPr>
            <w:tcW w:w="2470" w:type="pct"/>
            <w:shd w:val="clear" w:color="auto" w:fill="2F5496" w:themeFill="accent1" w:themeFillShade="BF"/>
            <w:vAlign w:val="center"/>
          </w:tcPr>
          <w:p w14:paraId="29B547B1" w14:textId="77777777" w:rsidR="00801157" w:rsidRPr="00801157" w:rsidRDefault="00801157" w:rsidP="00801157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801157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915" w:type="pct"/>
            <w:shd w:val="clear" w:color="auto" w:fill="2F5496" w:themeFill="accent1" w:themeFillShade="BF"/>
            <w:vAlign w:val="center"/>
          </w:tcPr>
          <w:p w14:paraId="2A8C22AD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EB4F69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Puntaje máximo</w:t>
            </w:r>
          </w:p>
        </w:tc>
      </w:tr>
      <w:tr w:rsidR="00801157" w:rsidRPr="000C7D4D" w14:paraId="04623B2B" w14:textId="77777777" w:rsidTr="008F4A63">
        <w:trPr>
          <w:trHeight w:val="296"/>
        </w:trPr>
        <w:tc>
          <w:tcPr>
            <w:tcW w:w="1614" w:type="pct"/>
            <w:shd w:val="clear" w:color="auto" w:fill="auto"/>
            <w:vAlign w:val="center"/>
          </w:tcPr>
          <w:p w14:paraId="768AA640" w14:textId="770EBFA5" w:rsidR="00801157" w:rsidRPr="00801157" w:rsidRDefault="00801157" w:rsidP="00801157">
            <w:pPr>
              <w:suppressAutoHyphens/>
              <w:overflowPunct w:val="0"/>
              <w:spacing w:line="264" w:lineRule="auto"/>
              <w:jc w:val="both"/>
              <w:textAlignment w:val="baseline"/>
              <w:rPr>
                <w:u w:val="single"/>
              </w:rPr>
            </w:pPr>
            <w:r>
              <w:t>La IES o docentes/investigadores pertenecientes a ciudades diferentes a Bogotá, Medellín o Cali.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D82ED86" w14:textId="2C094007" w:rsidR="00801157" w:rsidRPr="00801157" w:rsidRDefault="00801157" w:rsidP="00801157">
            <w:pPr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801157">
              <w:rPr>
                <w:rFonts w:eastAsia="Times New Roman"/>
                <w:b/>
                <w:bCs/>
              </w:rPr>
              <w:t>Regiones con menor impacto (4 puntos)</w:t>
            </w:r>
          </w:p>
          <w:p w14:paraId="79EA1811" w14:textId="77777777" w:rsidR="00801157" w:rsidRDefault="00801157" w:rsidP="00801157">
            <w:pPr>
              <w:adjustRightInd w:val="0"/>
              <w:jc w:val="both"/>
              <w:rPr>
                <w:rFonts w:eastAsia="Times New Roman"/>
              </w:rPr>
            </w:pPr>
          </w:p>
          <w:p w14:paraId="4018E11B" w14:textId="01E62074" w:rsidR="00801157" w:rsidRPr="000C7D4D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96138D">
              <w:rPr>
                <w:rFonts w:eastAsia="Times New Roman"/>
              </w:rPr>
              <w:t xml:space="preserve">Se </w:t>
            </w:r>
            <w:r>
              <w:rPr>
                <w:rFonts w:eastAsia="Times New Roman"/>
              </w:rPr>
              <w:t xml:space="preserve">dará </w:t>
            </w:r>
            <w:r w:rsidRPr="0096138D">
              <w:rPr>
                <w:rFonts w:eastAsia="Times New Roman"/>
              </w:rPr>
              <w:t xml:space="preserve">puntaje adicional a las </w:t>
            </w:r>
            <w:r w:rsidR="00EB4F69">
              <w:rPr>
                <w:rFonts w:eastAsia="Calibri"/>
                <w:color w:val="000000"/>
                <w:szCs w:val="23"/>
              </w:rPr>
              <w:t>s</w:t>
            </w:r>
            <w:r w:rsidR="00EB4F69" w:rsidRPr="000C7D4D">
              <w:rPr>
                <w:rFonts w:eastAsia="Calibri"/>
                <w:color w:val="000000"/>
                <w:szCs w:val="23"/>
              </w:rPr>
              <w:t>pin-</w:t>
            </w:r>
            <w:r w:rsidR="00EB4F69">
              <w:rPr>
                <w:rFonts w:eastAsia="Calibri"/>
                <w:color w:val="000000"/>
                <w:szCs w:val="23"/>
              </w:rPr>
              <w:t>o</w:t>
            </w:r>
            <w:r w:rsidR="00EB4F69" w:rsidRPr="000C7D4D">
              <w:rPr>
                <w:rFonts w:eastAsia="Calibri"/>
                <w:color w:val="000000"/>
                <w:szCs w:val="23"/>
              </w:rPr>
              <w:t xml:space="preserve">ff </w:t>
            </w:r>
            <w:r w:rsidR="00EB4F69" w:rsidRPr="0096138D">
              <w:rPr>
                <w:rFonts w:eastAsia="Times New Roman"/>
              </w:rPr>
              <w:t>de regiones</w:t>
            </w:r>
            <w:r w:rsidRPr="0096138D">
              <w:rPr>
                <w:rFonts w:eastAsia="Times New Roman"/>
              </w:rPr>
              <w:t xml:space="preserve"> menos impactadas con los mecanismos del ministerio.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580AC64" w14:textId="24AA47FA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4</w:t>
            </w:r>
          </w:p>
        </w:tc>
      </w:tr>
      <w:tr w:rsidR="00801157" w:rsidRPr="000C7D4D" w14:paraId="3E673924" w14:textId="77777777" w:rsidTr="008F4A63">
        <w:trPr>
          <w:trHeight w:val="752"/>
        </w:trPr>
        <w:tc>
          <w:tcPr>
            <w:tcW w:w="1614" w:type="pct"/>
            <w:shd w:val="clear" w:color="auto" w:fill="FFFFFF"/>
            <w:vAlign w:val="center"/>
          </w:tcPr>
          <w:p w14:paraId="7083427E" w14:textId="6296B196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Aspectos jurídicos en materia de habilitación para crear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y titularidad de la propiedad intelectual.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69ACC63" w14:textId="0F4E9E34" w:rsidR="00801157" w:rsidRPr="00584ED3" w:rsidRDefault="00801157" w:rsidP="00801157">
            <w:pPr>
              <w:adjustRightInd w:val="0"/>
              <w:jc w:val="both"/>
              <w:rPr>
                <w:b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Habilitación normativa</w:t>
            </w:r>
            <w:r w:rsidRPr="00584ED3">
              <w:rPr>
                <w:b/>
              </w:rPr>
              <w:t xml:space="preserve"> (10 puntos)</w:t>
            </w:r>
          </w:p>
          <w:p w14:paraId="2B9FF278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3225ACDA" w14:textId="4A27A70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la habilitación normativa con la que cuenta la entidad titular para facilitar la constitución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 xml:space="preserve">ff </w:t>
            </w:r>
            <w:r>
              <w:t>de base tecnológica y</w:t>
            </w:r>
            <w:r w:rsidRPr="000C7D4D">
              <w:rPr>
                <w:rFonts w:eastAsia="Calibri"/>
                <w:color w:val="000000"/>
                <w:szCs w:val="23"/>
              </w:rPr>
              <w:t xml:space="preserve"> la titularidad o el nivel de saneamiento en materia de propiedad intelectual sobre los derechos que dan pie a la tecnología, y por ende a la producción de bienes y servicios.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A64F711" w14:textId="6E3F81B8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10</w:t>
            </w:r>
          </w:p>
        </w:tc>
      </w:tr>
      <w:tr w:rsidR="00801157" w:rsidRPr="000C7D4D" w14:paraId="35E6335F" w14:textId="77777777" w:rsidTr="008F4A63">
        <w:trPr>
          <w:trHeight w:val="752"/>
        </w:trPr>
        <w:tc>
          <w:tcPr>
            <w:tcW w:w="1614" w:type="pct"/>
            <w:shd w:val="clear" w:color="auto" w:fill="FFFFFF"/>
            <w:vAlign w:val="center"/>
          </w:tcPr>
          <w:p w14:paraId="1907FE7C" w14:textId="1560694E" w:rsidR="00801157" w:rsidRPr="000C7D4D" w:rsidRDefault="00801157" w:rsidP="008F4A63">
            <w:pPr>
              <w:adjustRightInd w:val="0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Pertinencia de la creación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como mecanismo idóneo de transferencia tecnológica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62BA9DCE" w14:textId="5617E377" w:rsidR="00801157" w:rsidRPr="00584ED3" w:rsidRDefault="00801157" w:rsidP="008F4A63">
            <w:pPr>
              <w:adjustRightInd w:val="0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Pertinencia y la viabilidad (15 puntos)</w:t>
            </w:r>
          </w:p>
          <w:p w14:paraId="2C44E1F8" w14:textId="77777777" w:rsidR="00801157" w:rsidRDefault="00801157" w:rsidP="008F4A63">
            <w:pPr>
              <w:adjustRightInd w:val="0"/>
              <w:rPr>
                <w:rFonts w:eastAsia="Calibri"/>
                <w:color w:val="000000"/>
                <w:szCs w:val="23"/>
              </w:rPr>
            </w:pPr>
          </w:p>
          <w:p w14:paraId="699DC3C7" w14:textId="2EB499BF" w:rsidR="00801157" w:rsidRPr="000C7D4D" w:rsidRDefault="00801157" w:rsidP="008F4A63">
            <w:pPr>
              <w:adjustRightInd w:val="0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la pertinencia y la viabilidad del mecanismo de transferencia de los resultados obtenidos a través de la constitución de una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46C9D94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15</w:t>
            </w:r>
          </w:p>
        </w:tc>
      </w:tr>
      <w:tr w:rsidR="00801157" w:rsidRPr="000C7D4D" w14:paraId="459C1506" w14:textId="77777777" w:rsidTr="008F4A63">
        <w:trPr>
          <w:trHeight w:val="766"/>
        </w:trPr>
        <w:tc>
          <w:tcPr>
            <w:tcW w:w="1614" w:type="pct"/>
            <w:vMerge w:val="restart"/>
            <w:shd w:val="clear" w:color="auto" w:fill="FFFFFF"/>
            <w:vAlign w:val="center"/>
          </w:tcPr>
          <w:p w14:paraId="5B4D9FF9" w14:textId="617B0801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Estado de desarrollo del producto o servicio a ofertar por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BFEF2D7" w14:textId="781BFC7A" w:rsidR="00801157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Nivel de madurez (1</w:t>
            </w:r>
            <w:r>
              <w:rPr>
                <w:rFonts w:eastAsia="Calibri"/>
                <w:b/>
                <w:color w:val="000000"/>
                <w:szCs w:val="23"/>
              </w:rPr>
              <w:t>3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0EB704B7" w14:textId="77777777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</w:p>
          <w:p w14:paraId="1E3C9575" w14:textId="47EF037A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>Se evaluará el nivel de madurez del(los) producto(s) o servicio(s) apalancado(s) en, de cara a ser ofertado en el mercado en el menor tiempo posible.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153E6D18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  <w:p w14:paraId="16EBDF0E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  <w:p w14:paraId="71D8CB70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  <w:p w14:paraId="25018019" w14:textId="26EDDACE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18</w:t>
            </w:r>
          </w:p>
        </w:tc>
      </w:tr>
      <w:tr w:rsidR="00801157" w:rsidRPr="000C7D4D" w14:paraId="4EB62F43" w14:textId="77777777" w:rsidTr="008F4A63">
        <w:trPr>
          <w:trHeight w:val="435"/>
        </w:trPr>
        <w:tc>
          <w:tcPr>
            <w:tcW w:w="1614" w:type="pct"/>
            <w:vMerge/>
            <w:shd w:val="clear" w:color="auto" w:fill="FFFFFF"/>
            <w:vAlign w:val="center"/>
          </w:tcPr>
          <w:p w14:paraId="0FDF6E22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</w:tc>
        <w:tc>
          <w:tcPr>
            <w:tcW w:w="2470" w:type="pct"/>
            <w:shd w:val="clear" w:color="auto" w:fill="auto"/>
            <w:vAlign w:val="center"/>
          </w:tcPr>
          <w:p w14:paraId="0990D7DC" w14:textId="1F0549FE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Prototipo(s) funcional(es) o Producto mínimo viable (5 puntos)</w:t>
            </w:r>
          </w:p>
          <w:p w14:paraId="14B5CDAB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1D9FDC2F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>
              <w:rPr>
                <w:rFonts w:eastAsia="Calibri"/>
                <w:color w:val="000000"/>
                <w:szCs w:val="23"/>
              </w:rPr>
              <w:t>Se validará si la propuesta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cuenta con prototipo(s) funcional(es) o Producto mínimo viable de los productos a ofertar en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tecnológica.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18CEC05B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</w:tc>
      </w:tr>
      <w:tr w:rsidR="00801157" w:rsidRPr="000C7D4D" w14:paraId="57D73E98" w14:textId="77777777" w:rsidTr="008F4A63">
        <w:trPr>
          <w:trHeight w:val="274"/>
        </w:trPr>
        <w:tc>
          <w:tcPr>
            <w:tcW w:w="1614" w:type="pct"/>
            <w:vMerge w:val="restart"/>
            <w:shd w:val="clear" w:color="auto" w:fill="FFFFFF"/>
            <w:vAlign w:val="center"/>
          </w:tcPr>
          <w:p w14:paraId="3E3FECC4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16"/>
              </w:rPr>
            </w:pPr>
            <w:r w:rsidRPr="000C7D4D">
              <w:rPr>
                <w:rFonts w:eastAsia="Calibri"/>
                <w:color w:val="000000"/>
                <w:szCs w:val="23"/>
              </w:rPr>
              <w:lastRenderedPageBreak/>
              <w:t>Potencial y validación del mercado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356AE35C" w14:textId="74C95A20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Potencial comercial del producto o servicio (</w:t>
            </w:r>
            <w:r>
              <w:rPr>
                <w:rFonts w:eastAsia="Calibri"/>
                <w:b/>
                <w:color w:val="000000"/>
                <w:szCs w:val="23"/>
              </w:rPr>
              <w:t>9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60A11730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1F037351" w14:textId="3765357D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>Se evaluará el potencial comercial del producto o servicio de cara al nivel de aceptación o la pertinencia del mismo para ofrecer soluciones a demandas existentes en el mercado.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626BACF6" w14:textId="080560A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18</w:t>
            </w:r>
          </w:p>
        </w:tc>
      </w:tr>
      <w:tr w:rsidR="00801157" w:rsidRPr="000C7D4D" w14:paraId="0799801B" w14:textId="77777777" w:rsidTr="008F4A63">
        <w:trPr>
          <w:trHeight w:val="752"/>
        </w:trPr>
        <w:tc>
          <w:tcPr>
            <w:tcW w:w="1614" w:type="pct"/>
            <w:vMerge/>
            <w:shd w:val="clear" w:color="auto" w:fill="FFFFFF"/>
            <w:vAlign w:val="center"/>
          </w:tcPr>
          <w:p w14:paraId="77893644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</w:tc>
        <w:tc>
          <w:tcPr>
            <w:tcW w:w="2470" w:type="pct"/>
            <w:shd w:val="clear" w:color="auto" w:fill="auto"/>
            <w:vAlign w:val="center"/>
          </w:tcPr>
          <w:p w14:paraId="64E57ADE" w14:textId="77777777" w:rsidR="00EB4F69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Producto o servicio que se ofertará</w:t>
            </w:r>
          </w:p>
          <w:p w14:paraId="65F3C1DE" w14:textId="2D3EE7F4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 xml:space="preserve"> (</w:t>
            </w:r>
            <w:r w:rsidR="00EB4F69">
              <w:rPr>
                <w:rFonts w:eastAsia="Calibri"/>
                <w:b/>
                <w:color w:val="000000"/>
                <w:szCs w:val="23"/>
              </w:rPr>
              <w:t>9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53614288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55422FED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que el producto o servicio que se ofertará por la futura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haya sido validado en el mercado de interés, a través de comercialización de los mismos bajo cualquiera de las siguientes modalidades: contrato de investigación, venta de servicios de extensión, licencia de pruebas, etc.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67356CBD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</w:tc>
      </w:tr>
      <w:tr w:rsidR="00801157" w:rsidRPr="000C7D4D" w14:paraId="4BBEAD66" w14:textId="77777777" w:rsidTr="008F4A63">
        <w:trPr>
          <w:trHeight w:val="435"/>
        </w:trPr>
        <w:tc>
          <w:tcPr>
            <w:tcW w:w="1614" w:type="pct"/>
            <w:shd w:val="clear" w:color="auto" w:fill="FFFFFF"/>
            <w:vAlign w:val="center"/>
          </w:tcPr>
          <w:p w14:paraId="26D43F70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Equipo de trabajo dispuesto para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379264EF" w14:textId="3C8EAF0B" w:rsidR="00801157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AC470A">
              <w:rPr>
                <w:rFonts w:eastAsia="Calibri"/>
                <w:b/>
                <w:color w:val="000000"/>
                <w:szCs w:val="23"/>
              </w:rPr>
              <w:t xml:space="preserve">Equipo de trabajo </w:t>
            </w:r>
            <w:r w:rsidRPr="00584ED3">
              <w:rPr>
                <w:rFonts w:eastAsia="Calibri"/>
                <w:b/>
                <w:color w:val="000000"/>
                <w:szCs w:val="23"/>
              </w:rPr>
              <w:t>(</w:t>
            </w:r>
            <w:r>
              <w:rPr>
                <w:rFonts w:eastAsia="Calibri"/>
                <w:b/>
                <w:color w:val="000000"/>
                <w:szCs w:val="23"/>
              </w:rPr>
              <w:t>10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0636F5FA" w14:textId="77777777" w:rsidR="00801157" w:rsidRPr="00AC470A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</w:p>
          <w:p w14:paraId="0587206F" w14:textId="669E6E6C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el conocimiento y la experiencia relacionada al rol a desempeñar en el plan de trabajo diseñado para la operación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BF40709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10</w:t>
            </w:r>
          </w:p>
        </w:tc>
      </w:tr>
      <w:tr w:rsidR="00801157" w:rsidRPr="000C7D4D" w14:paraId="5E44E0B4" w14:textId="77777777" w:rsidTr="008F4A63">
        <w:trPr>
          <w:trHeight w:val="593"/>
        </w:trPr>
        <w:tc>
          <w:tcPr>
            <w:tcW w:w="1614" w:type="pct"/>
            <w:shd w:val="clear" w:color="auto" w:fill="FFFFFF"/>
            <w:vAlign w:val="center"/>
          </w:tcPr>
          <w:p w14:paraId="6D0F06AE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Alianzas estratégicas comerciales y disposición efectiva de recursos para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41BBDB8" w14:textId="77777777" w:rsidR="00BD65FB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AC470A">
              <w:rPr>
                <w:rFonts w:eastAsia="Calibri"/>
                <w:b/>
                <w:color w:val="000000"/>
                <w:szCs w:val="23"/>
              </w:rPr>
              <w:t xml:space="preserve">Alianzas estratégicas comerciales </w:t>
            </w:r>
          </w:p>
          <w:p w14:paraId="74803F3D" w14:textId="02899B69" w:rsidR="00801157" w:rsidRPr="00AC470A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(</w:t>
            </w:r>
            <w:r>
              <w:rPr>
                <w:rFonts w:eastAsia="Calibri"/>
                <w:b/>
                <w:color w:val="000000"/>
                <w:szCs w:val="23"/>
              </w:rPr>
              <w:t>15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7706F514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60F4EC16" w14:textId="66FF0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>Se evaluará la posibilidad efectiva de alianzas estratégicas</w:t>
            </w:r>
            <w:r>
              <w:rPr>
                <w:rFonts w:eastAsia="Calibri"/>
                <w:color w:val="000000"/>
                <w:szCs w:val="23"/>
              </w:rPr>
              <w:t xml:space="preserve"> comerciales</w:t>
            </w:r>
            <w:r w:rsidRPr="000C7D4D">
              <w:rPr>
                <w:rFonts w:eastAsia="Calibri"/>
                <w:color w:val="000000"/>
                <w:szCs w:val="23"/>
              </w:rPr>
              <w:t xml:space="preserve"> para la constitución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y el nivel de recursos financieros y técnicos que la Institución titular dispondrá para el proceso de creación.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F11F085" w14:textId="60CE3F1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15</w:t>
            </w:r>
          </w:p>
        </w:tc>
      </w:tr>
      <w:tr w:rsidR="00801157" w:rsidRPr="000C7D4D" w14:paraId="556DFD23" w14:textId="77777777" w:rsidTr="008F4A63">
        <w:trPr>
          <w:trHeight w:val="593"/>
        </w:trPr>
        <w:tc>
          <w:tcPr>
            <w:tcW w:w="1614" w:type="pct"/>
            <w:shd w:val="clear" w:color="auto" w:fill="auto"/>
            <w:vAlign w:val="center"/>
          </w:tcPr>
          <w:p w14:paraId="136D30AF" w14:textId="77777777" w:rsidR="00801157" w:rsidRPr="00A473E3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A473E3">
              <w:rPr>
                <w:rFonts w:eastAsia="Calibri"/>
                <w:color w:val="000000"/>
                <w:szCs w:val="23"/>
              </w:rPr>
              <w:t>Sustentación de la</w:t>
            </w:r>
          </w:p>
          <w:p w14:paraId="5EF17480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A473E3">
              <w:rPr>
                <w:rFonts w:eastAsia="Calibri"/>
                <w:color w:val="000000"/>
                <w:szCs w:val="23"/>
              </w:rPr>
              <w:t>propuesta (pitch)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00F44EA" w14:textId="0843A76A" w:rsidR="00801157" w:rsidRPr="00AC470A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AC470A">
              <w:rPr>
                <w:rFonts w:eastAsia="Calibri"/>
                <w:b/>
                <w:color w:val="000000"/>
                <w:szCs w:val="23"/>
              </w:rPr>
              <w:t>Pitch (10 puntos)</w:t>
            </w:r>
          </w:p>
          <w:p w14:paraId="14D3ACDD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3A9E938C" w14:textId="16DFB5A5" w:rsidR="00801157" w:rsidRPr="009C6A54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9C6A54">
              <w:rPr>
                <w:rFonts w:eastAsia="Calibri"/>
                <w:color w:val="000000"/>
                <w:szCs w:val="23"/>
              </w:rPr>
              <w:t>En este criterio de evaluación se obtendrá un máximo de</w:t>
            </w:r>
            <w:r>
              <w:rPr>
                <w:rFonts w:eastAsia="Calibri"/>
                <w:color w:val="000000"/>
                <w:szCs w:val="23"/>
              </w:rPr>
              <w:t xml:space="preserve"> diez</w:t>
            </w:r>
            <w:r w:rsidRPr="009C6A54">
              <w:rPr>
                <w:rFonts w:eastAsia="Calibri"/>
                <w:color w:val="000000"/>
                <w:szCs w:val="23"/>
              </w:rPr>
              <w:t xml:space="preserve"> (</w:t>
            </w:r>
            <w:r>
              <w:rPr>
                <w:rFonts w:eastAsia="Calibri"/>
                <w:color w:val="000000"/>
                <w:szCs w:val="23"/>
              </w:rPr>
              <w:t>10</w:t>
            </w:r>
            <w:r w:rsidRPr="009C6A54">
              <w:rPr>
                <w:rFonts w:eastAsia="Calibri"/>
                <w:color w:val="000000"/>
                <w:szCs w:val="23"/>
              </w:rPr>
              <w:t>) puntos a criterio de los evaluadores expertos, en caso de que el</w:t>
            </w:r>
            <w:r w:rsidR="00EB4F69">
              <w:rPr>
                <w:rFonts w:eastAsia="Calibri"/>
                <w:color w:val="000000"/>
                <w:szCs w:val="23"/>
              </w:rPr>
              <w:t xml:space="preserve"> </w:t>
            </w:r>
            <w:r>
              <w:rPr>
                <w:rFonts w:eastAsia="Calibri"/>
                <w:color w:val="000000"/>
                <w:szCs w:val="23"/>
              </w:rPr>
              <w:t>proponente</w:t>
            </w:r>
            <w:r w:rsidRPr="009C6A54">
              <w:rPr>
                <w:rFonts w:eastAsia="Calibri"/>
                <w:color w:val="000000"/>
                <w:szCs w:val="23"/>
              </w:rPr>
              <w:t xml:space="preserve"> no realice el pitch será evaluado con cero (0) puntos. El pitch es la</w:t>
            </w:r>
          </w:p>
          <w:p w14:paraId="708F4789" w14:textId="476AC91D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>
              <w:rPr>
                <w:rFonts w:eastAsia="Calibri"/>
                <w:color w:val="000000"/>
                <w:szCs w:val="23"/>
              </w:rPr>
              <w:t xml:space="preserve">sustentación de la propuesta </w:t>
            </w:r>
            <w:r w:rsidRPr="009C6A54">
              <w:rPr>
                <w:rFonts w:eastAsia="Calibri"/>
                <w:color w:val="000000"/>
                <w:szCs w:val="23"/>
              </w:rPr>
              <w:t xml:space="preserve">a los evaluadores, se estiman </w:t>
            </w:r>
            <w:r>
              <w:rPr>
                <w:rFonts w:eastAsia="Calibri"/>
                <w:color w:val="000000"/>
                <w:szCs w:val="23"/>
              </w:rPr>
              <w:t>veinte</w:t>
            </w:r>
            <w:r w:rsidRPr="009C6A54">
              <w:rPr>
                <w:rFonts w:eastAsia="Calibri"/>
                <w:color w:val="000000"/>
                <w:szCs w:val="23"/>
              </w:rPr>
              <w:t xml:space="preserve"> (</w:t>
            </w:r>
            <w:r w:rsidR="00EB4F69">
              <w:rPr>
                <w:rFonts w:eastAsia="Calibri"/>
                <w:color w:val="000000"/>
                <w:szCs w:val="23"/>
              </w:rPr>
              <w:t>15</w:t>
            </w:r>
            <w:r w:rsidRPr="009C6A54">
              <w:rPr>
                <w:rFonts w:eastAsia="Calibri"/>
                <w:color w:val="000000"/>
                <w:szCs w:val="23"/>
              </w:rPr>
              <w:t>) minutos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 w:rsidRPr="009C6A54">
              <w:rPr>
                <w:rFonts w:eastAsia="Calibri"/>
                <w:color w:val="000000"/>
                <w:szCs w:val="23"/>
              </w:rPr>
              <w:t xml:space="preserve">para la presentación de los elementos que son sujetos de evaluación, </w:t>
            </w:r>
            <w:r w:rsidRPr="009C6A54">
              <w:rPr>
                <w:rFonts w:eastAsia="Calibri"/>
                <w:color w:val="000000"/>
                <w:szCs w:val="23"/>
              </w:rPr>
              <w:lastRenderedPageBreak/>
              <w:t>luego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 w:rsidRPr="009C6A54">
              <w:rPr>
                <w:rFonts w:eastAsia="Calibri"/>
                <w:color w:val="000000"/>
                <w:szCs w:val="23"/>
              </w:rPr>
              <w:t xml:space="preserve">de esta fase se tendrá un espacio de </w:t>
            </w:r>
            <w:r>
              <w:rPr>
                <w:rFonts w:eastAsia="Calibri"/>
                <w:color w:val="000000"/>
                <w:szCs w:val="23"/>
              </w:rPr>
              <w:t>diez</w:t>
            </w:r>
            <w:r w:rsidRPr="009C6A54">
              <w:rPr>
                <w:rFonts w:eastAsia="Calibri"/>
                <w:color w:val="000000"/>
                <w:szCs w:val="23"/>
              </w:rPr>
              <w:t xml:space="preserve"> (</w:t>
            </w:r>
            <w:r>
              <w:rPr>
                <w:rFonts w:eastAsia="Calibri"/>
                <w:color w:val="000000"/>
                <w:szCs w:val="23"/>
              </w:rPr>
              <w:t>1</w:t>
            </w:r>
            <w:r w:rsidR="00421968">
              <w:rPr>
                <w:rFonts w:eastAsia="Calibri"/>
                <w:color w:val="000000"/>
                <w:szCs w:val="23"/>
              </w:rPr>
              <w:t>5</w:t>
            </w:r>
            <w:r w:rsidRPr="009C6A54">
              <w:rPr>
                <w:rFonts w:eastAsia="Calibri"/>
                <w:color w:val="000000"/>
                <w:szCs w:val="23"/>
              </w:rPr>
              <w:t>) minutos para preguntas y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 w:rsidRPr="009C6A54">
              <w:rPr>
                <w:rFonts w:eastAsia="Calibri"/>
                <w:color w:val="000000"/>
                <w:szCs w:val="23"/>
              </w:rPr>
              <w:t>respuestas.</w:t>
            </w:r>
          </w:p>
          <w:p w14:paraId="43B83F44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0E5FEE25" w14:textId="69251010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F54762">
              <w:rPr>
                <w:rFonts w:eastAsia="Calibri"/>
                <w:color w:val="000000"/>
                <w:szCs w:val="23"/>
              </w:rPr>
              <w:t xml:space="preserve">Una vez cerrada la convocatoria, </w:t>
            </w:r>
            <w:r>
              <w:rPr>
                <w:rFonts w:eastAsia="Calibri"/>
                <w:color w:val="000000"/>
                <w:szCs w:val="23"/>
              </w:rPr>
              <w:t>las propuestas que cumplan con la totalidad de</w:t>
            </w:r>
            <w:r w:rsidRPr="00F54762">
              <w:rPr>
                <w:rFonts w:eastAsia="Calibri"/>
                <w:color w:val="000000"/>
                <w:szCs w:val="23"/>
              </w:rPr>
              <w:t xml:space="preserve"> requisitos establecidos en la presente convocatoria</w:t>
            </w:r>
            <w:r>
              <w:rPr>
                <w:rFonts w:eastAsia="Calibri"/>
                <w:color w:val="000000"/>
                <w:szCs w:val="23"/>
              </w:rPr>
              <w:t>, serán invitados a realizar su presentación</w:t>
            </w:r>
            <w:r w:rsidRPr="00F54762">
              <w:rPr>
                <w:rFonts w:eastAsia="Calibri"/>
                <w:color w:val="000000"/>
                <w:szCs w:val="23"/>
              </w:rPr>
              <w:t xml:space="preserve">, </w:t>
            </w:r>
            <w:r>
              <w:rPr>
                <w:rFonts w:eastAsia="Calibri"/>
                <w:color w:val="000000"/>
                <w:szCs w:val="23"/>
              </w:rPr>
              <w:t xml:space="preserve">estos, </w:t>
            </w:r>
            <w:r w:rsidRPr="00F54762">
              <w:rPr>
                <w:rFonts w:eastAsia="Calibri"/>
                <w:color w:val="000000"/>
                <w:szCs w:val="23"/>
              </w:rPr>
              <w:t>serán notificados a</w:t>
            </w:r>
            <w:r>
              <w:rPr>
                <w:rFonts w:eastAsia="Calibri"/>
                <w:color w:val="000000"/>
                <w:szCs w:val="23"/>
              </w:rPr>
              <w:t xml:space="preserve">l </w:t>
            </w:r>
            <w:r w:rsidRPr="00F54762">
              <w:rPr>
                <w:rFonts w:eastAsia="Calibri"/>
                <w:color w:val="000000"/>
                <w:szCs w:val="23"/>
              </w:rPr>
              <w:t>electrónico registrado en la propuesta</w:t>
            </w:r>
            <w:r>
              <w:rPr>
                <w:rFonts w:eastAsia="Calibri"/>
                <w:color w:val="000000"/>
                <w:szCs w:val="23"/>
              </w:rPr>
              <w:t xml:space="preserve">. Lo anterior teniendo en cuenta </w:t>
            </w:r>
            <w:r w:rsidRPr="00F54762">
              <w:rPr>
                <w:rFonts w:eastAsia="Calibri"/>
                <w:color w:val="000000"/>
                <w:szCs w:val="23"/>
              </w:rPr>
              <w:t>las fechas establecidas en el Numeral</w:t>
            </w:r>
            <w:r w:rsidR="002F3443">
              <w:rPr>
                <w:rFonts w:eastAsia="Calibri"/>
                <w:color w:val="000000"/>
                <w:szCs w:val="23"/>
              </w:rPr>
              <w:t xml:space="preserve"> </w:t>
            </w:r>
            <w:r w:rsidRPr="00F54762">
              <w:rPr>
                <w:rFonts w:eastAsia="Calibri"/>
                <w:color w:val="000000"/>
                <w:szCs w:val="23"/>
              </w:rPr>
              <w:t>1</w:t>
            </w:r>
            <w:r>
              <w:rPr>
                <w:rFonts w:eastAsia="Calibri"/>
                <w:color w:val="000000"/>
                <w:szCs w:val="23"/>
              </w:rPr>
              <w:t>6</w:t>
            </w:r>
            <w:r w:rsidRPr="00F54762">
              <w:rPr>
                <w:rFonts w:eastAsia="Calibri"/>
                <w:color w:val="000000"/>
                <w:szCs w:val="23"/>
              </w:rPr>
              <w:t xml:space="preserve"> CRONOGRAMA</w:t>
            </w:r>
            <w:r>
              <w:rPr>
                <w:rFonts w:eastAsia="Calibri"/>
                <w:color w:val="000000"/>
                <w:szCs w:val="23"/>
              </w:rPr>
              <w:t xml:space="preserve">. </w:t>
            </w:r>
            <w:r w:rsidRPr="009C6A54">
              <w:rPr>
                <w:rFonts w:eastAsia="Calibri"/>
                <w:color w:val="000000"/>
                <w:szCs w:val="23"/>
              </w:rPr>
              <w:t xml:space="preserve"> </w:t>
            </w:r>
            <w:r w:rsidR="00EB4F69">
              <w:rPr>
                <w:rFonts w:eastAsia="Calibri"/>
                <w:color w:val="000000"/>
                <w:szCs w:val="23"/>
              </w:rPr>
              <w:t>Esta sustentación se realizará de manera virtual para todas las spin-off.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13FBE23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lastRenderedPageBreak/>
              <w:t>10</w:t>
            </w:r>
          </w:p>
        </w:tc>
      </w:tr>
      <w:tr w:rsidR="00EB4F69" w:rsidRPr="00EB4F69" w14:paraId="71606015" w14:textId="77777777" w:rsidTr="008F4A63">
        <w:trPr>
          <w:trHeight w:val="593"/>
        </w:trPr>
        <w:tc>
          <w:tcPr>
            <w:tcW w:w="4085" w:type="pct"/>
            <w:gridSpan w:val="2"/>
            <w:shd w:val="clear" w:color="auto" w:fill="2F5496" w:themeFill="accent1" w:themeFillShade="BF"/>
            <w:vAlign w:val="center"/>
          </w:tcPr>
          <w:p w14:paraId="291EE522" w14:textId="77777777" w:rsidR="00801157" w:rsidRPr="00EB4F69" w:rsidRDefault="00801157" w:rsidP="00801157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EB4F69">
              <w:rPr>
                <w:rFonts w:eastAsia="Calibri"/>
                <w:b/>
                <w:color w:val="FFFFFF" w:themeColor="background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15" w:type="pct"/>
            <w:shd w:val="clear" w:color="auto" w:fill="2F5496" w:themeFill="accent1" w:themeFillShade="BF"/>
            <w:vAlign w:val="center"/>
          </w:tcPr>
          <w:p w14:paraId="0A120BEE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EB4F69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100</w:t>
            </w:r>
          </w:p>
        </w:tc>
      </w:tr>
      <w:bookmarkEnd w:id="0"/>
    </w:tbl>
    <w:p w14:paraId="1952EF6E" w14:textId="77777777" w:rsidR="00801157" w:rsidRDefault="00801157" w:rsidP="00801157">
      <w:pPr>
        <w:pStyle w:val="Textoindependiente"/>
        <w:rPr>
          <w:sz w:val="20"/>
        </w:rPr>
      </w:pPr>
    </w:p>
    <w:p w14:paraId="1DB814B9" w14:textId="77777777" w:rsidR="00801157" w:rsidRDefault="00801157" w:rsidP="00801157">
      <w:pPr>
        <w:pStyle w:val="Textoindependiente"/>
        <w:rPr>
          <w:sz w:val="20"/>
        </w:rPr>
      </w:pPr>
    </w:p>
    <w:sectPr w:rsidR="00801157" w:rsidSect="000401BC">
      <w:headerReference w:type="default" r:id="rId8"/>
      <w:footerReference w:type="default" r:id="rId9"/>
      <w:pgSz w:w="12240" w:h="15840"/>
      <w:pgMar w:top="1962" w:right="1701" w:bottom="1418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BA75" w14:textId="77777777" w:rsidR="00A17BFF" w:rsidRDefault="00A17BFF" w:rsidP="00A6615D">
      <w:r>
        <w:separator/>
      </w:r>
    </w:p>
  </w:endnote>
  <w:endnote w:type="continuationSeparator" w:id="0">
    <w:p w14:paraId="70C70A2A" w14:textId="77777777" w:rsidR="00A17BFF" w:rsidRDefault="00A17BFF" w:rsidP="00A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A693" w14:textId="79D83745" w:rsidR="00B845FD" w:rsidRDefault="007710A3" w:rsidP="00B845FD">
    <w:pPr>
      <w:pStyle w:val="Piedepgina"/>
      <w:tabs>
        <w:tab w:val="clear" w:pos="8838"/>
      </w:tabs>
      <w:ind w:right="-943"/>
      <w:jc w:val="right"/>
    </w:pPr>
    <w:r>
      <w:rPr>
        <w:noProof/>
        <w:lang w:val="en-US"/>
      </w:rPr>
      <w:drawing>
        <wp:inline distT="0" distB="0" distL="0" distR="0" wp14:anchorId="6494AA5E" wp14:editId="0C8588A7">
          <wp:extent cx="2208409" cy="75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79" cy="76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DA09" w14:textId="77777777" w:rsidR="00A17BFF" w:rsidRDefault="00A17BFF" w:rsidP="00A6615D">
      <w:r>
        <w:separator/>
      </w:r>
    </w:p>
  </w:footnote>
  <w:footnote w:type="continuationSeparator" w:id="0">
    <w:p w14:paraId="76A145E9" w14:textId="77777777" w:rsidR="00A17BFF" w:rsidRDefault="00A17BFF" w:rsidP="00A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241C" w14:textId="77777777" w:rsidR="00A6615D" w:rsidRDefault="00A6615D" w:rsidP="0037484B">
    <w:pPr>
      <w:pStyle w:val="Encabezado"/>
      <w:ind w:left="-709" w:hanging="142"/>
    </w:pPr>
    <w:r>
      <w:rPr>
        <w:noProof/>
        <w:lang w:val="en-US"/>
      </w:rPr>
      <w:drawing>
        <wp:inline distT="0" distB="0" distL="0" distR="0" wp14:anchorId="2E22DEFC" wp14:editId="0AD12318">
          <wp:extent cx="3329818" cy="609600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cienc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055" cy="6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11"/>
    <w:multiLevelType w:val="hybridMultilevel"/>
    <w:tmpl w:val="6E2A9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6B0"/>
    <w:multiLevelType w:val="multilevel"/>
    <w:tmpl w:val="990034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EE3526"/>
    <w:multiLevelType w:val="hybridMultilevel"/>
    <w:tmpl w:val="D3A4DA92"/>
    <w:lvl w:ilvl="0" w:tplc="BE3C9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13"/>
    <w:multiLevelType w:val="multilevel"/>
    <w:tmpl w:val="8C4A88C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E30D28"/>
    <w:multiLevelType w:val="hybridMultilevel"/>
    <w:tmpl w:val="BA3046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7F2B"/>
    <w:multiLevelType w:val="hybridMultilevel"/>
    <w:tmpl w:val="C32E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18A"/>
    <w:multiLevelType w:val="multilevel"/>
    <w:tmpl w:val="6964A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A"/>
    <w:rsid w:val="00014A40"/>
    <w:rsid w:val="00026BAC"/>
    <w:rsid w:val="000401BC"/>
    <w:rsid w:val="000643E7"/>
    <w:rsid w:val="000E4DC8"/>
    <w:rsid w:val="001E7F59"/>
    <w:rsid w:val="002A41A2"/>
    <w:rsid w:val="002E3314"/>
    <w:rsid w:val="002F3443"/>
    <w:rsid w:val="0037484B"/>
    <w:rsid w:val="003B7883"/>
    <w:rsid w:val="00421968"/>
    <w:rsid w:val="00462D70"/>
    <w:rsid w:val="005B5E4F"/>
    <w:rsid w:val="005C0152"/>
    <w:rsid w:val="00600E90"/>
    <w:rsid w:val="00610974"/>
    <w:rsid w:val="006256D0"/>
    <w:rsid w:val="007710A3"/>
    <w:rsid w:val="00801157"/>
    <w:rsid w:val="00824171"/>
    <w:rsid w:val="008F4A63"/>
    <w:rsid w:val="00987F0C"/>
    <w:rsid w:val="00A17BFF"/>
    <w:rsid w:val="00A30CFC"/>
    <w:rsid w:val="00A6615D"/>
    <w:rsid w:val="00B845FD"/>
    <w:rsid w:val="00BD65FB"/>
    <w:rsid w:val="00CB7B0A"/>
    <w:rsid w:val="00DA11EC"/>
    <w:rsid w:val="00EB4F69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E8F7C"/>
  <w15:chartTrackingRefBased/>
  <w15:docId w15:val="{EEA7AB07-C80A-422C-B5D7-D48AD27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tulo1">
    <w:name w:val="heading 1"/>
    <w:basedOn w:val="Normal"/>
    <w:link w:val="Ttulo1Car"/>
    <w:uiPriority w:val="9"/>
    <w:qFormat/>
    <w:rsid w:val="00801157"/>
    <w:pPr>
      <w:spacing w:before="94"/>
      <w:ind w:left="408" w:right="9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15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A6615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6615D"/>
  </w:style>
  <w:style w:type="paragraph" w:styleId="Piedepgina">
    <w:name w:val="footer"/>
    <w:basedOn w:val="Normal"/>
    <w:link w:val="PiedepginaCar"/>
    <w:uiPriority w:val="99"/>
    <w:unhideWhenUsed/>
    <w:rsid w:val="00A6615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615D"/>
  </w:style>
  <w:style w:type="character" w:customStyle="1" w:styleId="Ttulo1Car">
    <w:name w:val="Título 1 Car"/>
    <w:basedOn w:val="Fuentedeprrafopredeter"/>
    <w:link w:val="Ttulo1"/>
    <w:uiPriority w:val="9"/>
    <w:rsid w:val="00801157"/>
    <w:rPr>
      <w:rFonts w:ascii="Arial" w:eastAsia="Arial" w:hAnsi="Arial" w:cs="Arial"/>
      <w:b/>
      <w:bCs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01157"/>
    <w:rPr>
      <w:rFonts w:ascii="Trebuchet MS" w:eastAsia="Trebuchet MS" w:hAnsi="Trebuchet MS" w:cs="Trebuchet MS"/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1157"/>
    <w:rPr>
      <w:rFonts w:ascii="Trebuchet MS" w:eastAsia="Trebuchet MS" w:hAnsi="Trebuchet MS" w:cs="Trebuchet MS"/>
      <w:b/>
      <w:bCs/>
      <w:sz w:val="16"/>
      <w:szCs w:val="16"/>
      <w:lang w:eastAsia="es-CO" w:bidi="es-CO"/>
    </w:rPr>
  </w:style>
  <w:style w:type="paragraph" w:customStyle="1" w:styleId="Textoindependiente31">
    <w:name w:val="Texto independiente 31"/>
    <w:basedOn w:val="Normal"/>
    <w:rsid w:val="00801157"/>
    <w:pPr>
      <w:suppressAutoHyphens/>
      <w:overflowPunct w:val="0"/>
      <w:autoSpaceDN/>
      <w:spacing w:after="120"/>
      <w:jc w:val="both"/>
      <w:textAlignment w:val="baseline"/>
    </w:pPr>
    <w:rPr>
      <w:rFonts w:eastAsia="Times New Roman" w:cs="Times New Roman"/>
      <w:sz w:val="24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0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0B2"/>
    <w:rPr>
      <w:rFonts w:ascii="Segoe UI" w:eastAsia="Arial" w:hAnsi="Segoe UI" w:cs="Segoe UI"/>
      <w:sz w:val="18"/>
      <w:szCs w:val="18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A84D-E985-4281-B8FA-BA83DB8C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Calle</dc:creator>
  <cp:keywords/>
  <dc:description/>
  <cp:lastModifiedBy>Juliana Diaz Cardona</cp:lastModifiedBy>
  <cp:revision>13</cp:revision>
  <dcterms:created xsi:type="dcterms:W3CDTF">2020-01-09T17:28:00Z</dcterms:created>
  <dcterms:modified xsi:type="dcterms:W3CDTF">2020-12-30T21:49:00Z</dcterms:modified>
</cp:coreProperties>
</file>